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Grästorp kommunfullmäktige</w:t>
      </w:r>
    </w:p>
    <w:p>
      <w:pPr>
        <w:pStyle w:val="Heading1"/>
      </w:pPr>
      <w:r>
        <w:t xml:space="preserve">Utökad vuxenutbildning mot lokala jobb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Grästorp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i Grästorp är 5,8 % och matchningen mot livsmedels- och lantbruksjobb är svag enligt Arbetsförmedlingen 2025. Vuxenutbildningen behöver stärkas för att möta näringslivets behov.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Grästorp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komvux med 20 platser inom lantbruk, livsmedel och logistik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ingå samverkansavtal med lokala företag om praktik och lärlingsplatser.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800 000 kr för yrkesinriktad utbildning i samverkan med Västra Götalandsregionen.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genomströmning och anställningsgrad i årsredovisningen.</w:t>
      </w:r>
    </w:p>
    <w:p>
      <w:pPr>
        <w:spacing w:before="360"/>
      </w:pPr>
    </w:p>
    <w:p>
      <w:r>
        <w:t xml:space="preserve">Grästorp,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Grästorp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2026-07-14T00:01:41.800Z</dcterms:created>
  <dcterms:modified xsi:type="dcterms:W3CDTF">2026-07-14T00:01:41.800Z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